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D713" w14:textId="4916320D" w:rsidR="00ED4198" w:rsidRDefault="009B27FA" w:rsidP="00361853">
      <w:pPr>
        <w:spacing w:line="279" w:lineRule="auto"/>
        <w:ind w:firstLine="720"/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</w:pPr>
      <w:r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 xml:space="preserve">Upper </w:t>
      </w:r>
      <w:r w:rsidR="00361853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Level</w:t>
      </w:r>
      <w:r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s</w:t>
      </w:r>
      <w:r w:rsidR="00361853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 xml:space="preserve"> </w:t>
      </w:r>
      <w:r w:rsidR="009527EC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3 &amp; 4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24"/>
        <w:gridCol w:w="2212"/>
        <w:gridCol w:w="2121"/>
        <w:gridCol w:w="2405"/>
        <w:gridCol w:w="2337"/>
        <w:gridCol w:w="2337"/>
      </w:tblGrid>
      <w:tr w:rsidR="00ED4198" w14:paraId="7C9C13AE" w14:textId="22497068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83AB697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bookmarkStart w:id="0" w:name="_Hlk208907223"/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Category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F7B8BA8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Exemplary 4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1A98CD6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Proficient 3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8CE1A9" w14:textId="5CDBB6DF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 xml:space="preserve">Developing </w:t>
            </w:r>
            <w:r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2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7B9C3E0" w14:textId="77777777" w:rsidR="00ED4198" w:rsidRDefault="00ED4198" w:rsidP="00ED4198">
            <w:pPr>
              <w:jc w:val="center"/>
              <w:rPr>
                <w:rFonts w:ascii="Segoe UI" w:eastAsia="Segoe UI" w:hAnsi="Segoe UI" w:cs="Segoe UI"/>
                <w:color w:val="424242"/>
                <w:sz w:val="16"/>
                <w:szCs w:val="16"/>
              </w:rPr>
            </w:pPr>
            <w:r w:rsidRPr="06C86906"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Beginning 1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</w:tcPr>
          <w:p w14:paraId="766A1B92" w14:textId="49FC478C" w:rsidR="00ED4198" w:rsidRPr="06C86906" w:rsidRDefault="00ED4198" w:rsidP="00ED4198">
            <w:pPr>
              <w:jc w:val="center"/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b/>
                <w:bCs/>
                <w:color w:val="424242"/>
                <w:sz w:val="16"/>
                <w:szCs w:val="16"/>
              </w:rPr>
              <w:t>Score</w:t>
            </w:r>
          </w:p>
        </w:tc>
      </w:tr>
      <w:tr w:rsidR="00ED4198" w14:paraId="003228BF" w14:textId="5FB0AF6A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AABF9F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MN Standards Alignment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2A1470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Clearly and explicitly aligned with multiple relevant MN academic standards; standards are integrated throughout the lesson.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02ED0A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Aligned with relevant MN standards; standards are referenced and mostly integrated.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06785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Some alignment with MN standards; limited integration in lesson activities.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643C03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Little or no alignment with MN standards; standards are missing or unclear.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18466D9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bookmarkEnd w:id="0"/>
      <w:tr w:rsidR="00ED4198" w14:paraId="60EF695E" w14:textId="60E826C1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51D94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Cultural Values Integration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209C4AD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Deep integration of diverse cultural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perspectives;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promotes equity and inclusion.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CAEC1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Includes cultural values and perspectives; supports student identity.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CF7CD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Some cultural references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present;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limited connection to student backgrounds.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CF4A87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Cultural values are absent or not meaningfully integrated.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4523AA9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494628E8" w14:textId="0453E243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BAA255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bookmarkStart w:id="1" w:name="_Hlk208907329"/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Student Objectives / Learning Targets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966A364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Objectives are clear, measurable, and student-centered; aligned with standards and assessments.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96FCA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Objectives are clear and measurable; mostly aligned with standards.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86898B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Objectives are somewhat clear;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may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lack measurability or alignment.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FB8A2B0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Objectives are vague, not measurable, or missing.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211BC66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32FB523D" w14:textId="41985C9A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39C267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bookmarkStart w:id="2" w:name="_Hlk208907253"/>
            <w:bookmarkEnd w:id="1"/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Pre-assessments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87DA44A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Thoughtfully designed to gauge prior knowledge and inform instruction.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7146FA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Pre-assessment is present and provides useful information.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0CC33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Pre-assessment is present but limited in scope or clarity.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AA1BD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pre-assessment or ineffective in informing instruction.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0D25565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16F34384" w14:textId="6C6E0BA3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8EB20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bookmarkStart w:id="3" w:name="_Hlk208907406"/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Assessments (Formative/Summative)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3513F90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Assessments guide instruction and provide feedback.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F0062FD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Assessments are present and used to adjust instruction.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CE2382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Some assessments are included but inconsistently used.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D90615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Assessments are missing or not used effectively.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54C169B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bookmarkEnd w:id="2"/>
      <w:bookmarkEnd w:id="3"/>
      <w:tr w:rsidR="00ED4198" w14:paraId="29171BAB" w14:textId="1B019B47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D71CA91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lastRenderedPageBreak/>
              <w:t>Academic Vocabulary / Language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74C536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Academic vocabulary is explicitly taught and integrated; supports language development.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7BE8CB8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Academic vocabulary is included and somewhat integrated.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429627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Limited academic vocabulary; not explicitly taught.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2B306C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Academic vocabulary is missing or not addressed.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27AEA7B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4D81935D" w14:textId="72641447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8D24C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Context for Learning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C88C8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Thorough understanding of students’ backgrounds, needs, and interests; lesson is tailored accordingly.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BC3234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General understanding of student context; some differentiation.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82D42A5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Limited understanding of student context; minimal differentiation.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B62847D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evidence of consideration for student context.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046AE5FA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332EC459" w14:textId="140556CE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EFF3C76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Background (Theory to Practice)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0BF675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Strong connection between educational theory and instructional practices; well-justified.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9ED3539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Some connection between theory and practice; rationale is present.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C1FAEC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Weak or unclear connection between theory and practice.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6804D9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connection between theory and practice; rationale is missing.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2BDFCC0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37EE6A9B" w14:textId="43A3861B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42F6047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Instructional Design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88D4462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Instruction is engaging, scaffolded, and differentiated; </w:t>
            </w:r>
            <w:proofErr w:type="gramStart"/>
            <w:r w:rsidRPr="00ED4198">
              <w:rPr>
                <w:rFonts w:ascii="Times New Roman" w:eastAsia="Segoe UI" w:hAnsi="Times New Roman" w:cs="Times New Roman"/>
                <w:color w:val="424242"/>
              </w:rPr>
              <w:t>includes</w:t>
            </w:r>
            <w:proofErr w:type="gramEnd"/>
            <w:r w:rsidRPr="00ED4198">
              <w:rPr>
                <w:rFonts w:ascii="Times New Roman" w:eastAsia="Segoe UI" w:hAnsi="Times New Roman" w:cs="Times New Roman"/>
                <w:color w:val="424242"/>
              </w:rPr>
              <w:t xml:space="preserve"> varied strategies.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E852D1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Instruction is clear and includes some differentiation and engagement.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62045E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Instruction is somewhat clear; limited strategies or differentiation.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270B6F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Instruction lacks clarity, engagement, or differentiation.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735C97EA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  <w:tr w:rsidR="00ED4198" w14:paraId="1A174D4A" w14:textId="423CF19B" w:rsidTr="00ED4198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07C888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b/>
                <w:bCs/>
                <w:color w:val="424242"/>
              </w:rPr>
              <w:t>Reflection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548DD903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Deep, thoughtful reflection on lesson effectiveness, student learning, and areas for growth.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60CB369B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Reflection addresses lesson effectiveness and student learning.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6EFAD570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Reflection is brief or lacks depth.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7DB1091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  <w:r w:rsidRPr="00ED4198">
              <w:rPr>
                <w:rFonts w:ascii="Times New Roman" w:eastAsia="Segoe UI" w:hAnsi="Times New Roman" w:cs="Times New Roman"/>
                <w:color w:val="424242"/>
              </w:rPr>
              <w:t>No reflection or supporting information.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370D9C0E" w14:textId="77777777" w:rsidR="00ED4198" w:rsidRPr="00ED4198" w:rsidRDefault="00ED4198" w:rsidP="009F5BC9">
            <w:pPr>
              <w:rPr>
                <w:rFonts w:ascii="Times New Roman" w:eastAsia="Segoe UI" w:hAnsi="Times New Roman" w:cs="Times New Roman"/>
                <w:color w:val="424242"/>
              </w:rPr>
            </w:pPr>
          </w:p>
        </w:tc>
      </w:tr>
    </w:tbl>
    <w:p w14:paraId="46B0EFAC" w14:textId="520FF910" w:rsidR="007C49CD" w:rsidRPr="009B27FA" w:rsidRDefault="0090178E" w:rsidP="00ED4198">
      <w:pPr>
        <w:rPr>
          <w:rFonts w:ascii="Times New Roman" w:hAnsi="Times New Roman" w:cs="Times New Roman"/>
          <w:sz w:val="20"/>
          <w:szCs w:val="20"/>
        </w:rPr>
      </w:pPr>
      <w:r w:rsidRPr="009B27FA">
        <w:rPr>
          <w:rFonts w:ascii="Times New Roman" w:hAnsi="Times New Roman" w:cs="Times New Roman"/>
          <w:sz w:val="20"/>
          <w:szCs w:val="20"/>
        </w:rPr>
        <w:lastRenderedPageBreak/>
        <w:t>Levels 1 &amp; 2</w:t>
      </w:r>
    </w:p>
    <w:tbl>
      <w:tblPr>
        <w:tblStyle w:val="TableGrid"/>
        <w:tblW w:w="13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24"/>
        <w:gridCol w:w="2212"/>
        <w:gridCol w:w="2121"/>
        <w:gridCol w:w="2405"/>
        <w:gridCol w:w="2337"/>
        <w:gridCol w:w="2337"/>
      </w:tblGrid>
      <w:tr w:rsidR="0090178E" w:rsidRPr="009B27FA" w14:paraId="59AD4164" w14:textId="77777777" w:rsidTr="0090178E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24F2C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bookmarkStart w:id="4" w:name="_Hlk208907468"/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Category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343F6BF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Exemplary 4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15DB3DC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Proficient 3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C9DAC9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Developing 2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4DB3605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Beginning 1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5F5F5"/>
          </w:tcPr>
          <w:p w14:paraId="18B45854" w14:textId="77777777" w:rsidR="0090178E" w:rsidRPr="009B27FA" w:rsidRDefault="0090178E" w:rsidP="00275F2E">
            <w:pPr>
              <w:jc w:val="center"/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Score</w:t>
            </w:r>
          </w:p>
        </w:tc>
      </w:tr>
      <w:tr w:rsidR="0090178E" w:rsidRPr="009B27FA" w14:paraId="010691DC" w14:textId="77777777" w:rsidTr="0090178E">
        <w:trPr>
          <w:trHeight w:val="300"/>
        </w:trPr>
        <w:tc>
          <w:tcPr>
            <w:tcW w:w="17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6B27FFA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MN Standards Alignment</w:t>
            </w:r>
          </w:p>
        </w:tc>
        <w:tc>
          <w:tcPr>
            <w:tcW w:w="22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8E4942D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Clearly and explicitly aligned with multiple relevant MN academic standards; standards are integrated throughout the lesson.</w:t>
            </w:r>
          </w:p>
        </w:tc>
        <w:tc>
          <w:tcPr>
            <w:tcW w:w="21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41573F1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Aligned with relevant MN standards; standards are referenced and mostly integrated.</w:t>
            </w:r>
          </w:p>
        </w:tc>
        <w:tc>
          <w:tcPr>
            <w:tcW w:w="2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60DA61C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Some alignment with MN standards; limited integration in lesson activities.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4AA7DE7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Little or no alignment with MN standards; standards are missing or unclear.</w:t>
            </w:r>
          </w:p>
        </w:tc>
        <w:tc>
          <w:tcPr>
            <w:tcW w:w="2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FAFA"/>
          </w:tcPr>
          <w:p w14:paraId="0BACD8D1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29815EBF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44ABFA95" w14:textId="7B6112E4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Student Objectives / Learning Targets</w:t>
            </w:r>
          </w:p>
        </w:tc>
        <w:tc>
          <w:tcPr>
            <w:tcW w:w="2212" w:type="dxa"/>
          </w:tcPr>
          <w:p w14:paraId="14B908AA" w14:textId="70424609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Objectives are clear, measurable, and student-centered; aligned with standards and assessments.</w:t>
            </w:r>
          </w:p>
        </w:tc>
        <w:tc>
          <w:tcPr>
            <w:tcW w:w="2121" w:type="dxa"/>
          </w:tcPr>
          <w:p w14:paraId="198E0FC4" w14:textId="5BFA6203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Objectives are clear and measurable; mostly aligned with standards.</w:t>
            </w:r>
          </w:p>
        </w:tc>
        <w:tc>
          <w:tcPr>
            <w:tcW w:w="2405" w:type="dxa"/>
          </w:tcPr>
          <w:p w14:paraId="79FF99E8" w14:textId="1874A7AE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 xml:space="preserve">Objectives are somewhat clear; </w:t>
            </w:r>
            <w:proofErr w:type="gramStart"/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may</w:t>
            </w:r>
            <w:proofErr w:type="gramEnd"/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 xml:space="preserve"> lack measurability or alignment.</w:t>
            </w:r>
          </w:p>
        </w:tc>
        <w:tc>
          <w:tcPr>
            <w:tcW w:w="2337" w:type="dxa"/>
          </w:tcPr>
          <w:p w14:paraId="5DC052F7" w14:textId="2535A21A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Objectives are vague, not measurable, or missing.</w:t>
            </w:r>
          </w:p>
        </w:tc>
        <w:tc>
          <w:tcPr>
            <w:tcW w:w="2337" w:type="dxa"/>
          </w:tcPr>
          <w:p w14:paraId="363BA6F9" w14:textId="77777777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0BCD28DE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631C9961" w14:textId="1D89D2F4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Pre-assessments</w:t>
            </w:r>
          </w:p>
        </w:tc>
        <w:tc>
          <w:tcPr>
            <w:tcW w:w="2212" w:type="dxa"/>
          </w:tcPr>
          <w:p w14:paraId="5B350FD4" w14:textId="6D06B2C8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Thoughtfully designed to gauge prior knowledge and inform instruction.</w:t>
            </w:r>
          </w:p>
        </w:tc>
        <w:tc>
          <w:tcPr>
            <w:tcW w:w="2121" w:type="dxa"/>
          </w:tcPr>
          <w:p w14:paraId="1DAD1FF2" w14:textId="31B3615C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Pre-assessment is present and provides useful information.</w:t>
            </w:r>
          </w:p>
        </w:tc>
        <w:tc>
          <w:tcPr>
            <w:tcW w:w="2405" w:type="dxa"/>
          </w:tcPr>
          <w:p w14:paraId="15AF37EC" w14:textId="3B225F3F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Pre-assessment is present but limited in scope or clarity.</w:t>
            </w:r>
          </w:p>
        </w:tc>
        <w:tc>
          <w:tcPr>
            <w:tcW w:w="2337" w:type="dxa"/>
          </w:tcPr>
          <w:p w14:paraId="7E010444" w14:textId="6E7D1FD6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No pre-assessment or ineffective in informing instruction.</w:t>
            </w:r>
          </w:p>
        </w:tc>
        <w:tc>
          <w:tcPr>
            <w:tcW w:w="2337" w:type="dxa"/>
          </w:tcPr>
          <w:p w14:paraId="080D9300" w14:textId="77777777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7A48FA37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16C25462" w14:textId="79264907" w:rsidR="0090178E" w:rsidRPr="009B27FA" w:rsidRDefault="0090178E" w:rsidP="0090178E">
            <w:pPr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Context for Learning</w:t>
            </w:r>
          </w:p>
        </w:tc>
        <w:tc>
          <w:tcPr>
            <w:tcW w:w="2212" w:type="dxa"/>
          </w:tcPr>
          <w:p w14:paraId="382C0426" w14:textId="5B87E62B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Thorough understanding of students’ backgrounds, needs, and interests; lesson is tailored accordingly.</w:t>
            </w:r>
          </w:p>
        </w:tc>
        <w:tc>
          <w:tcPr>
            <w:tcW w:w="2121" w:type="dxa"/>
          </w:tcPr>
          <w:p w14:paraId="0BA809C3" w14:textId="1DE65176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General understanding of student context; some differentiation.</w:t>
            </w:r>
          </w:p>
        </w:tc>
        <w:tc>
          <w:tcPr>
            <w:tcW w:w="2405" w:type="dxa"/>
          </w:tcPr>
          <w:p w14:paraId="488B3D27" w14:textId="6A6C1379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Limited understanding of student context; minimal differentiation.</w:t>
            </w:r>
          </w:p>
        </w:tc>
        <w:tc>
          <w:tcPr>
            <w:tcW w:w="2337" w:type="dxa"/>
          </w:tcPr>
          <w:p w14:paraId="20B5EDAB" w14:textId="1A6FDA25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No evidence of consideration for student context.</w:t>
            </w:r>
          </w:p>
        </w:tc>
        <w:tc>
          <w:tcPr>
            <w:tcW w:w="2337" w:type="dxa"/>
          </w:tcPr>
          <w:p w14:paraId="7E6B6D31" w14:textId="77777777" w:rsidR="0090178E" w:rsidRPr="009B27FA" w:rsidRDefault="0090178E" w:rsidP="0090178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79526462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56EF6F7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Assessments (Formative/Summative)</w:t>
            </w:r>
          </w:p>
        </w:tc>
        <w:tc>
          <w:tcPr>
            <w:tcW w:w="2212" w:type="dxa"/>
          </w:tcPr>
          <w:p w14:paraId="3A939580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Assessments guide instruction and provide feedback.</w:t>
            </w:r>
          </w:p>
        </w:tc>
        <w:tc>
          <w:tcPr>
            <w:tcW w:w="2121" w:type="dxa"/>
          </w:tcPr>
          <w:p w14:paraId="4ADB199B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Assessments are present and used to adjust instruction.</w:t>
            </w:r>
          </w:p>
        </w:tc>
        <w:tc>
          <w:tcPr>
            <w:tcW w:w="2405" w:type="dxa"/>
          </w:tcPr>
          <w:p w14:paraId="52721B6F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Some assessments are included but inconsistently used.</w:t>
            </w:r>
          </w:p>
        </w:tc>
        <w:tc>
          <w:tcPr>
            <w:tcW w:w="2337" w:type="dxa"/>
          </w:tcPr>
          <w:p w14:paraId="7E93602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Assessments are missing or not used effectively.</w:t>
            </w:r>
          </w:p>
        </w:tc>
        <w:tc>
          <w:tcPr>
            <w:tcW w:w="2337" w:type="dxa"/>
          </w:tcPr>
          <w:p w14:paraId="76DC37B7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tr w:rsidR="0090178E" w:rsidRPr="009B27FA" w14:paraId="1627A260" w14:textId="77777777" w:rsidTr="009017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24" w:type="dxa"/>
          </w:tcPr>
          <w:p w14:paraId="415B0ABF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b/>
                <w:bCs/>
                <w:color w:val="424242"/>
                <w:sz w:val="20"/>
                <w:szCs w:val="20"/>
              </w:rPr>
              <w:t>Reflection</w:t>
            </w:r>
          </w:p>
        </w:tc>
        <w:tc>
          <w:tcPr>
            <w:tcW w:w="2212" w:type="dxa"/>
          </w:tcPr>
          <w:p w14:paraId="5CB8084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Deep, thoughtful reflection on lesson effectiveness, student learning, and areas for growth.</w:t>
            </w:r>
          </w:p>
        </w:tc>
        <w:tc>
          <w:tcPr>
            <w:tcW w:w="2121" w:type="dxa"/>
          </w:tcPr>
          <w:p w14:paraId="1B221277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Reflection addresses lesson effectiveness and student learning.</w:t>
            </w:r>
          </w:p>
        </w:tc>
        <w:tc>
          <w:tcPr>
            <w:tcW w:w="2405" w:type="dxa"/>
          </w:tcPr>
          <w:p w14:paraId="052B1914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Reflection is brief or lacks depth.</w:t>
            </w:r>
          </w:p>
        </w:tc>
        <w:tc>
          <w:tcPr>
            <w:tcW w:w="2337" w:type="dxa"/>
          </w:tcPr>
          <w:p w14:paraId="616DD06E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  <w:r w:rsidRPr="009B27FA"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  <w:t>No reflection or supporting information.</w:t>
            </w:r>
          </w:p>
        </w:tc>
        <w:tc>
          <w:tcPr>
            <w:tcW w:w="2337" w:type="dxa"/>
          </w:tcPr>
          <w:p w14:paraId="4CE206B1" w14:textId="77777777" w:rsidR="0090178E" w:rsidRPr="009B27FA" w:rsidRDefault="0090178E" w:rsidP="00275F2E">
            <w:pPr>
              <w:rPr>
                <w:rFonts w:ascii="Times New Roman" w:eastAsia="Segoe UI" w:hAnsi="Times New Roman" w:cs="Times New Roman"/>
                <w:color w:val="424242"/>
                <w:sz w:val="20"/>
                <w:szCs w:val="20"/>
              </w:rPr>
            </w:pPr>
          </w:p>
        </w:tc>
      </w:tr>
      <w:bookmarkEnd w:id="4"/>
    </w:tbl>
    <w:p w14:paraId="355D65D7" w14:textId="77777777" w:rsidR="0090178E" w:rsidRDefault="0090178E" w:rsidP="00ED4198"/>
    <w:sectPr w:rsidR="0090178E" w:rsidSect="00ED419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2A41" w14:textId="77777777" w:rsidR="009C306D" w:rsidRDefault="009C306D" w:rsidP="00ED4198">
      <w:pPr>
        <w:spacing w:after="0" w:line="240" w:lineRule="auto"/>
      </w:pPr>
      <w:r>
        <w:separator/>
      </w:r>
    </w:p>
  </w:endnote>
  <w:endnote w:type="continuationSeparator" w:id="0">
    <w:p w14:paraId="6D0CA111" w14:textId="77777777" w:rsidR="009C306D" w:rsidRDefault="009C306D" w:rsidP="00ED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73AA" w14:textId="77777777" w:rsidR="009C306D" w:rsidRDefault="009C306D" w:rsidP="00ED4198">
      <w:pPr>
        <w:spacing w:after="0" w:line="240" w:lineRule="auto"/>
      </w:pPr>
      <w:r>
        <w:separator/>
      </w:r>
    </w:p>
  </w:footnote>
  <w:footnote w:type="continuationSeparator" w:id="0">
    <w:p w14:paraId="4B891587" w14:textId="77777777" w:rsidR="009C306D" w:rsidRDefault="009C306D" w:rsidP="00ED4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E152" w14:textId="463F212B" w:rsidR="00ED4198" w:rsidRPr="00ED4198" w:rsidRDefault="00ED4198" w:rsidP="00ED419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D4198">
      <w:rPr>
        <w:rFonts w:ascii="Aptos" w:eastAsia="Aptos" w:hAnsi="Aptos" w:cs="Aptos"/>
        <w:b/>
        <w:bCs/>
        <w:color w:val="000000" w:themeColor="text1"/>
        <w:sz w:val="24"/>
        <w:szCs w:val="24"/>
      </w:rPr>
      <w:t>FDLTCC EDUC Lesson Plan Rubric 40 Point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8"/>
    <w:rsid w:val="00361853"/>
    <w:rsid w:val="00470AFE"/>
    <w:rsid w:val="00533CA3"/>
    <w:rsid w:val="007C49CD"/>
    <w:rsid w:val="0090178E"/>
    <w:rsid w:val="009527EC"/>
    <w:rsid w:val="009A1C79"/>
    <w:rsid w:val="009B27FA"/>
    <w:rsid w:val="009C306D"/>
    <w:rsid w:val="00A11D75"/>
    <w:rsid w:val="00A748AD"/>
    <w:rsid w:val="00C80935"/>
    <w:rsid w:val="00DF6942"/>
    <w:rsid w:val="00ED4198"/>
    <w:rsid w:val="00F9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3230"/>
  <w15:chartTrackingRefBased/>
  <w15:docId w15:val="{C68A128E-4A31-4AC4-A1A1-2B499D3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1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1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1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1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1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1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1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1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1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1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1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D41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D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19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1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08E59322-4F4F-42BB-B1B6-C074779AD8E8}"/>
</file>

<file path=customXml/itemProps2.xml><?xml version="1.0" encoding="utf-8"?>
<ds:datastoreItem xmlns:ds="http://schemas.openxmlformats.org/officeDocument/2006/customXml" ds:itemID="{3C495B13-9CE9-49DD-B9EE-32D6EC937A32}"/>
</file>

<file path=customXml/itemProps3.xml><?xml version="1.0" encoding="utf-8"?>
<ds:datastoreItem xmlns:ds="http://schemas.openxmlformats.org/officeDocument/2006/customXml" ds:itemID="{C81D5B39-3AB6-4C5A-9D30-AC8FC54A0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4279</Characters>
  <Application>Microsoft Office Word</Application>
  <DocSecurity>0</DocSecurity>
  <Lines>311</Lines>
  <Paragraphs>94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cp:keywords/>
  <dc:description/>
  <cp:lastModifiedBy>Montgomery, Sara L</cp:lastModifiedBy>
  <cp:revision>3</cp:revision>
  <cp:lastPrinted>2025-09-16T14:25:00Z</cp:lastPrinted>
  <dcterms:created xsi:type="dcterms:W3CDTF">2025-11-05T19:48:00Z</dcterms:created>
  <dcterms:modified xsi:type="dcterms:W3CDTF">2025-11-05T20:10:00Z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</Properties>
</file>